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716DC" w14:textId="34353F5E" w:rsidR="000E751D" w:rsidRDefault="003F4144">
      <w:r>
        <w:rPr>
          <w:noProof/>
        </w:rPr>
        <mc:AlternateContent>
          <mc:Choice Requires="wps">
            <w:drawing>
              <wp:anchor distT="0" distB="0" distL="114300" distR="114300" simplePos="0" relativeHeight="251661312" behindDoc="0" locked="0" layoutInCell="1" allowOverlap="1" wp14:anchorId="79CCB9CF" wp14:editId="45307498">
                <wp:simplePos x="0" y="0"/>
                <wp:positionH relativeFrom="column">
                  <wp:posOffset>652462</wp:posOffset>
                </wp:positionH>
                <wp:positionV relativeFrom="paragraph">
                  <wp:posOffset>-4763</wp:posOffset>
                </wp:positionV>
                <wp:extent cx="2395538" cy="319088"/>
                <wp:effectExtent l="0" t="0" r="0" b="5080"/>
                <wp:wrapNone/>
                <wp:docPr id="46299727" name="Text Box 3"/>
                <wp:cNvGraphicFramePr/>
                <a:graphic xmlns:a="http://schemas.openxmlformats.org/drawingml/2006/main">
                  <a:graphicData uri="http://schemas.microsoft.com/office/word/2010/wordprocessingShape">
                    <wps:wsp>
                      <wps:cNvSpPr txBox="1"/>
                      <wps:spPr>
                        <a:xfrm>
                          <a:off x="0" y="0"/>
                          <a:ext cx="2395538" cy="319088"/>
                        </a:xfrm>
                        <a:prstGeom prst="rect">
                          <a:avLst/>
                        </a:prstGeom>
                        <a:noFill/>
                        <a:ln w="6350">
                          <a:noFill/>
                        </a:ln>
                      </wps:spPr>
                      <wps:txbx>
                        <w:txbxContent>
                          <w:p w14:paraId="2A667E28" w14:textId="0AD601FC" w:rsidR="003F4144" w:rsidRPr="003F4144" w:rsidRDefault="003F4144">
                            <w:pPr>
                              <w:rPr>
                                <w:color w:val="FFFFFF" w:themeColor="background1"/>
                              </w:rPr>
                            </w:pPr>
                            <w:r w:rsidRPr="003F4144">
                              <w:rPr>
                                <w:color w:val="FFFFFF" w:themeColor="background1"/>
                              </w:rPr>
                              <w:t>101.1</w:t>
                            </w:r>
                            <w:r w:rsidR="001950D8">
                              <w:rPr>
                                <w:color w:val="FFFFFF" w:themeColor="background1"/>
                              </w:rPr>
                              <w:t>b</w:t>
                            </w:r>
                            <w:r w:rsidRPr="003F4144">
                              <w:rPr>
                                <w:color w:val="FFFFFF" w:themeColor="background1"/>
                              </w:rPr>
                              <w:t xml:space="preserve"> – </w:t>
                            </w:r>
                            <w:r w:rsidR="001950D8">
                              <w:rPr>
                                <w:color w:val="FFFFFF" w:themeColor="background1"/>
                              </w:rPr>
                              <w:t>The Safety Squad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CB9CF" id="_x0000_t202" coordsize="21600,21600" o:spt="202" path="m,l,21600r21600,l21600,xe">
                <v:stroke joinstyle="miter"/>
                <v:path gradientshapeok="t" o:connecttype="rect"/>
              </v:shapetype>
              <v:shape id="Text Box 3" o:spid="_x0000_s1026" type="#_x0000_t202" style="position:absolute;margin-left:51.35pt;margin-top:-.4pt;width:188.65pt;height:2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aKYFwIAACw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" filled="f" stroked="f" strokeweight=".5pt">
                <v:textbox>
                  <w:txbxContent>
                    <w:p w14:paraId="2A667E28" w14:textId="0AD601FC" w:rsidR="003F4144" w:rsidRPr="003F4144" w:rsidRDefault="003F4144">
                      <w:pPr>
                        <w:rPr>
                          <w:color w:val="FFFFFF" w:themeColor="background1"/>
                        </w:rPr>
                      </w:pPr>
                      <w:r w:rsidRPr="003F4144">
                        <w:rPr>
                          <w:color w:val="FFFFFF" w:themeColor="background1"/>
                        </w:rPr>
                        <w:t>101.1</w:t>
                      </w:r>
                      <w:r w:rsidR="001950D8">
                        <w:rPr>
                          <w:color w:val="FFFFFF" w:themeColor="background1"/>
                        </w:rPr>
                        <w:t>b</w:t>
                      </w:r>
                      <w:r w:rsidRPr="003F4144">
                        <w:rPr>
                          <w:color w:val="FFFFFF" w:themeColor="background1"/>
                        </w:rPr>
                        <w:t xml:space="preserve"> – </w:t>
                      </w:r>
                      <w:r w:rsidR="001950D8">
                        <w:rPr>
                          <w:color w:val="FFFFFF" w:themeColor="background1"/>
                        </w:rPr>
                        <w:t>The Safety Squad</w:t>
                      </w:r>
                    </w:p>
                  </w:txbxContent>
                </v:textbox>
              </v:shape>
            </w:pict>
          </mc:Fallback>
        </mc:AlternateContent>
      </w:r>
      <w:r w:rsidR="00FC4114" w:rsidRPr="00BA2A5D">
        <w:rPr>
          <w:noProof/>
        </w:rPr>
        <w:drawing>
          <wp:anchor distT="0" distB="0" distL="114300" distR="114300" simplePos="0" relativeHeight="251660288" behindDoc="0" locked="0" layoutInCell="1" allowOverlap="1" wp14:anchorId="30EB0682" wp14:editId="6FA906B3">
            <wp:simplePos x="0" y="0"/>
            <wp:positionH relativeFrom="margin">
              <wp:posOffset>0</wp:posOffset>
            </wp:positionH>
            <wp:positionV relativeFrom="paragraph">
              <wp:posOffset>-51752</wp:posOffset>
            </wp:positionV>
            <wp:extent cx="776288" cy="776288"/>
            <wp:effectExtent l="0" t="0" r="0" b="0"/>
            <wp:wrapNone/>
            <wp:docPr id="3" name="Picture 2">
              <a:extLst xmlns:a="http://schemas.openxmlformats.org/drawingml/2006/main">
                <a:ext uri="{FF2B5EF4-FFF2-40B4-BE49-F238E27FC236}">
                  <a16:creationId xmlns:a16="http://schemas.microsoft.com/office/drawing/2014/main" id="{217C9208-32CF-D8DD-0C8E-8798740EAB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217C9208-32CF-D8DD-0C8E-8798740EABB4}"/>
                        </a:ext>
                      </a:extLst>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6288" cy="776288"/>
                    </a:xfrm>
                    <a:prstGeom prst="rect">
                      <a:avLst/>
                    </a:prstGeom>
                  </pic:spPr>
                </pic:pic>
              </a:graphicData>
            </a:graphic>
            <wp14:sizeRelH relativeFrom="margin">
              <wp14:pctWidth>0</wp14:pctWidth>
            </wp14:sizeRelH>
            <wp14:sizeRelV relativeFrom="margin">
              <wp14:pctHeight>0</wp14:pctHeight>
            </wp14:sizeRelV>
          </wp:anchor>
        </w:drawing>
      </w:r>
      <w:r w:rsidR="00FC4114" w:rsidRPr="00BA2A5D">
        <w:rPr>
          <w:noProof/>
        </w:rPr>
        <mc:AlternateContent>
          <mc:Choice Requires="wpg">
            <w:drawing>
              <wp:anchor distT="0" distB="0" distL="114300" distR="114300" simplePos="0" relativeHeight="251659264" behindDoc="0" locked="0" layoutInCell="1" allowOverlap="1" wp14:anchorId="4C50C314" wp14:editId="7B6A73EB">
                <wp:simplePos x="0" y="0"/>
                <wp:positionH relativeFrom="column">
                  <wp:posOffset>-28575</wp:posOffset>
                </wp:positionH>
                <wp:positionV relativeFrom="paragraph">
                  <wp:posOffset>-52705</wp:posOffset>
                </wp:positionV>
                <wp:extent cx="5657850" cy="1534160"/>
                <wp:effectExtent l="228600" t="228600" r="209550" b="237490"/>
                <wp:wrapNone/>
                <wp:docPr id="4" name="Group 3">
                  <a:extLst xmlns:a="http://schemas.openxmlformats.org/drawingml/2006/main">
                    <a:ext uri="{FF2B5EF4-FFF2-40B4-BE49-F238E27FC236}">
                      <a16:creationId xmlns:a16="http://schemas.microsoft.com/office/drawing/2014/main" id="{FCD2CE35-9F61-3368-F633-0A2CC0E51FAB}"/>
                    </a:ext>
                  </a:extLst>
                </wp:docPr>
                <wp:cNvGraphicFramePr/>
                <a:graphic xmlns:a="http://schemas.openxmlformats.org/drawingml/2006/main">
                  <a:graphicData uri="http://schemas.microsoft.com/office/word/2010/wordprocessingGroup">
                    <wpg:wgp>
                      <wpg:cNvGrpSpPr/>
                      <wpg:grpSpPr>
                        <a:xfrm>
                          <a:off x="0" y="0"/>
                          <a:ext cx="5657850" cy="1534160"/>
                          <a:chOff x="0" y="0"/>
                          <a:chExt cx="7591647" cy="2109754"/>
                        </a:xfrm>
                      </wpg:grpSpPr>
                      <wps:wsp>
                        <wps:cNvPr id="1461090966" name="Right Triangle 1461090966">
                          <a:extLst>
                            <a:ext uri="{FF2B5EF4-FFF2-40B4-BE49-F238E27FC236}">
                              <a16:creationId xmlns:a16="http://schemas.microsoft.com/office/drawing/2014/main" id="{0891A942-8E02-9FE2-AB5B-85FBFFE39E93}"/>
                            </a:ext>
                          </a:extLst>
                        </wps:cNvPr>
                        <wps:cNvSpPr/>
                        <wps:spPr>
                          <a:xfrm flipV="1">
                            <a:off x="0" y="0"/>
                            <a:ext cx="7591647" cy="2105247"/>
                          </a:xfrm>
                          <a:prstGeom prst="rtTriangle">
                            <a:avLst/>
                          </a:prstGeom>
                          <a:solidFill>
                            <a:srgbClr val="1F6165"/>
                          </a:solidFill>
                          <a:ln>
                            <a:solidFill>
                              <a:srgbClr val="F0F8FD"/>
                            </a:solidFill>
                          </a:ln>
                          <a:effectLst>
                            <a:glow rad="228600">
                              <a:srgbClr val="1F6165">
                                <a:alpha val="40000"/>
                              </a:srgbClr>
                            </a:glo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47027800" name="Rectangle 947027800">
                          <a:extLst>
                            <a:ext uri="{FF2B5EF4-FFF2-40B4-BE49-F238E27FC236}">
                              <a16:creationId xmlns:a16="http://schemas.microsoft.com/office/drawing/2014/main" id="{3B81D16A-2371-ADAF-9FED-7EF86304EB11}"/>
                            </a:ext>
                          </a:extLst>
                        </wps:cNvPr>
                        <wps:cNvSpPr/>
                        <wps:spPr>
                          <a:xfrm rot="21009592">
                            <a:off x="325452" y="338361"/>
                            <a:ext cx="6685682" cy="1771393"/>
                          </a:xfrm>
                          <a:prstGeom prst="rect">
                            <a:avLst/>
                          </a:prstGeom>
                          <a:noFill/>
                          <a:effectLst>
                            <a:glow rad="127000">
                              <a:srgbClr val="1F6165"/>
                            </a:glow>
                          </a:effectLst>
                        </wps:spPr>
                        <wps:txbx>
                          <w:txbxContent>
                            <w:p w14:paraId="227E9E19" w14:textId="4EBA83C1" w:rsidR="00FC4114" w:rsidRPr="00BA2A5D" w:rsidRDefault="00FC4114" w:rsidP="00BA2A5D">
                              <w:pPr>
                                <w:jc w:val="center"/>
                                <w:rPr>
                                  <w:rFonts w:ascii="MisterEarl BT" w:hAnsi="MisterEarl BT"/>
                                  <w:color w:val="FFFFFF" w:themeColor="background1"/>
                                  <w:kern w:val="24"/>
                                  <w:sz w:val="96"/>
                                  <w:szCs w:val="96"/>
                                  <w:lang w:val="en-US"/>
                                  <w14:glow w14:rad="139700">
                                    <w14:srgbClr w14:val="1F6165">
                                      <w14:alpha w14:val="60000"/>
                                    </w14:srgbClr>
                                  </w14:glow>
                                  <w14:shadow w14:blurRad="38100" w14:dist="19050" w14:dir="2700000" w14:sx="100000" w14:sy="100000" w14:kx="0" w14:ky="0" w14:algn="tl">
                                    <w14:schemeClr w14:val="dk1">
                                      <w14:alpha w14:val="60000"/>
                                    </w14:schemeClr>
                                  </w14:shadow>
                                  <w14:ligatures w14:val="none"/>
                                </w:rPr>
                              </w:pPr>
                              <w:r>
                                <w:rPr>
                                  <w:rFonts w:ascii="MisterEarl BT" w:hAnsi="MisterEarl BT"/>
                                  <w:color w:val="FFFFFF" w:themeColor="background1"/>
                                  <w:kern w:val="24"/>
                                  <w:sz w:val="96"/>
                                  <w:szCs w:val="96"/>
                                  <w:lang w:val="en-US"/>
                                  <w14:glow w14:rad="139700">
                                    <w14:srgbClr w14:val="1F6165">
                                      <w14:alpha w14:val="60000"/>
                                    </w14:srgbClr>
                                  </w14:glow>
                                  <w14:shadow w14:blurRad="38100" w14:dist="19050" w14:dir="2700000" w14:sx="100000" w14:sy="100000" w14:kx="0" w14:ky="0" w14:algn="tl">
                                    <w14:schemeClr w14:val="dk1">
                                      <w14:alpha w14:val="60000"/>
                                    </w14:schemeClr>
                                  </w14:shadow>
                                </w:rPr>
                                <w:t>Qualification Mapping Table</w:t>
                              </w:r>
                            </w:p>
                          </w:txbxContent>
                        </wps:txbx>
                        <wps:bodyPr wrap="none" lIns="91440" tIns="45720" rIns="91440" bIns="45720">
                          <a:spAutoFit/>
                        </wps:bodyPr>
                      </wps:wsp>
                    </wpg:wgp>
                  </a:graphicData>
                </a:graphic>
                <wp14:sizeRelH relativeFrom="margin">
                  <wp14:pctWidth>0</wp14:pctWidth>
                </wp14:sizeRelH>
              </wp:anchor>
            </w:drawing>
          </mc:Choice>
          <mc:Fallback>
            <w:pict>
              <v:group w14:anchorId="4C50C314" id="Group 3" o:spid="_x0000_s1027" style="position:absolute;margin-left:-2.25pt;margin-top:-4.15pt;width:445.5pt;height:120.8pt;z-index:251659264;mso-width-relative:margin" coordsize="75916,2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">
                <v:shapetype id="_x0000_t6" coordsize="21600,21600" o:spt="6" path="m,l,21600r21600,xe">
                  <v:stroke joinstyle="miter"/>
                  <v:path gradientshapeok="t" o:connecttype="custom" o:connectlocs="0,0;0,10800;0,21600;10800,21600;21600,21600;10800,10800" textboxrect="1800,12600,12600,19800"/>
                </v:shapetype>
                <v:shape id="Right Triangle 1461090966" o:spid="_x0000_s1028" type="#_x0000_t6" style="position:absolute;width:75916;height:21052;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" fillcolor="#1f6165" strokecolor="#f0f8fd" strokeweight="1pt"/>
                <v:rect id="Rectangle 947027800" o:spid="_x0000_s1029" style="position:absolute;left:3254;top:3383;width:66857;height:17714;rotation:-644883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" filled="f" stroked="f">
                  <v:textbox style="mso-fit-shape-to-text:t">
                    <w:txbxContent>
                      <w:p w14:paraId="227E9E19" w14:textId="4EBA83C1" w:rsidR="00FC4114" w:rsidRPr="00BA2A5D" w:rsidRDefault="00FC4114" w:rsidP="00BA2A5D">
                        <w:pPr>
                          <w:jc w:val="center"/>
                          <w:rPr>
                            <w:rFonts w:ascii="MisterEarl BT" w:hAnsi="MisterEarl BT"/>
                            <w:color w:val="FFFFFF" w:themeColor="background1"/>
                            <w:kern w:val="24"/>
                            <w:sz w:val="96"/>
                            <w:szCs w:val="96"/>
                            <w:lang w:val="en-US"/>
                            <w14:glow w14:rad="139700">
                              <w14:srgbClr w14:val="1F6165">
                                <w14:alpha w14:val="60000"/>
                              </w14:srgbClr>
                            </w14:glow>
                            <w14:shadow w14:blurRad="38100" w14:dist="19050" w14:dir="2700000" w14:sx="100000" w14:sy="100000" w14:kx="0" w14:ky="0" w14:algn="tl">
                              <w14:schemeClr w14:val="dk1">
                                <w14:alpha w14:val="60000"/>
                              </w14:schemeClr>
                            </w14:shadow>
                            <w14:ligatures w14:val="none"/>
                          </w:rPr>
                        </w:pPr>
                        <w:r>
                          <w:rPr>
                            <w:rFonts w:ascii="MisterEarl BT" w:hAnsi="MisterEarl BT"/>
                            <w:color w:val="FFFFFF" w:themeColor="background1"/>
                            <w:kern w:val="24"/>
                            <w:sz w:val="96"/>
                            <w:szCs w:val="96"/>
                            <w:lang w:val="en-US"/>
                            <w14:glow w14:rad="139700">
                              <w14:srgbClr w14:val="1F6165">
                                <w14:alpha w14:val="60000"/>
                              </w14:srgbClr>
                            </w14:glow>
                            <w14:shadow w14:blurRad="38100" w14:dist="19050" w14:dir="2700000" w14:sx="100000" w14:sy="100000" w14:kx="0" w14:ky="0" w14:algn="tl">
                              <w14:schemeClr w14:val="dk1">
                                <w14:alpha w14:val="60000"/>
                              </w14:schemeClr>
                            </w14:shadow>
                          </w:rPr>
                          <w:t>Qualification Mapping Table</w:t>
                        </w:r>
                      </w:p>
                    </w:txbxContent>
                  </v:textbox>
                </v:rect>
              </v:group>
            </w:pict>
          </mc:Fallback>
        </mc:AlternateContent>
      </w:r>
    </w:p>
    <w:p w14:paraId="14D3962B" w14:textId="6B7D6B82" w:rsidR="00BA2A5D" w:rsidRDefault="00BA2A5D"/>
    <w:p w14:paraId="436A3BDB" w14:textId="1B6FB0F9" w:rsidR="00BA2A5D" w:rsidRDefault="00BA2A5D"/>
    <w:p w14:paraId="23A7C5BF" w14:textId="6335D15A" w:rsidR="00BA2A5D" w:rsidRDefault="00BA2A5D"/>
    <w:p w14:paraId="729B5A8A" w14:textId="227E5652" w:rsidR="00BA2A5D" w:rsidRDefault="00BA2A5D"/>
    <w:p w14:paraId="47BE2A33" w14:textId="0846D5DA" w:rsidR="00BA2A5D" w:rsidRDefault="00BA2A5D"/>
    <w:p w14:paraId="18B77E17" w14:textId="28AC95A8" w:rsidR="00BA2A5D" w:rsidRPr="00BA2A5D" w:rsidRDefault="00BA2A5D">
      <w:pPr>
        <w:rPr>
          <w:color w:val="1F6165"/>
        </w:rPr>
      </w:pPr>
      <w:r w:rsidRPr="00BA2A5D">
        <w:rPr>
          <w:color w:val="1F6165"/>
        </w:rPr>
        <w:t xml:space="preserve">These questions are related to the </w:t>
      </w:r>
      <w:r w:rsidR="004E080A">
        <w:rPr>
          <w:color w:val="1F6165"/>
        </w:rPr>
        <w:t>Activity Pack – 101.1</w:t>
      </w:r>
      <w:r w:rsidR="00434691">
        <w:rPr>
          <w:color w:val="1F6165"/>
        </w:rPr>
        <w:t>b</w:t>
      </w:r>
      <w:r w:rsidR="004E080A">
        <w:rPr>
          <w:color w:val="1F6165"/>
        </w:rPr>
        <w:t xml:space="preserve"> – </w:t>
      </w:r>
      <w:r w:rsidR="00434691">
        <w:rPr>
          <w:color w:val="1F6165"/>
        </w:rPr>
        <w:t>The Safety Squad</w:t>
      </w:r>
      <w:r w:rsidRPr="00BA2A5D">
        <w:rPr>
          <w:color w:val="1F6165"/>
        </w:rPr>
        <w:t>.</w:t>
      </w:r>
    </w:p>
    <w:tbl>
      <w:tblPr>
        <w:tblStyle w:val="TableGrid"/>
        <w:tblW w:w="0" w:type="auto"/>
        <w:tblLook w:val="04A0" w:firstRow="1" w:lastRow="0" w:firstColumn="1" w:lastColumn="0" w:noHBand="0" w:noVBand="1"/>
      </w:tblPr>
      <w:tblGrid>
        <w:gridCol w:w="3654"/>
        <w:gridCol w:w="3572"/>
        <w:gridCol w:w="3230"/>
      </w:tblGrid>
      <w:tr w:rsidR="00FC4114" w:rsidRPr="001950D8" w14:paraId="6AAE18B8" w14:textId="0697D414" w:rsidTr="00FC4114">
        <w:tc>
          <w:tcPr>
            <w:tcW w:w="3654" w:type="dxa"/>
            <w:shd w:val="clear" w:color="auto" w:fill="1F6165"/>
          </w:tcPr>
          <w:p w14:paraId="4A495578" w14:textId="781682E7" w:rsidR="00FC4114" w:rsidRPr="001950D8" w:rsidRDefault="00FC4114" w:rsidP="00BA2A5D">
            <w:pPr>
              <w:jc w:val="center"/>
              <w:rPr>
                <w:b/>
                <w:bCs/>
                <w:color w:val="FFFFFF" w:themeColor="background1"/>
                <w:sz w:val="20"/>
                <w:szCs w:val="20"/>
              </w:rPr>
            </w:pPr>
            <w:r w:rsidRPr="001950D8">
              <w:rPr>
                <w:b/>
                <w:bCs/>
                <w:color w:val="FFFFFF" w:themeColor="background1"/>
                <w:sz w:val="20"/>
                <w:szCs w:val="20"/>
              </w:rPr>
              <w:t>Curriculum Requirement.</w:t>
            </w:r>
          </w:p>
        </w:tc>
        <w:tc>
          <w:tcPr>
            <w:tcW w:w="3572" w:type="dxa"/>
            <w:shd w:val="clear" w:color="auto" w:fill="1F6165"/>
          </w:tcPr>
          <w:p w14:paraId="7A60B289" w14:textId="5FCCF77A" w:rsidR="00FC4114" w:rsidRPr="001950D8" w:rsidRDefault="00FC4114" w:rsidP="00BA2A5D">
            <w:pPr>
              <w:jc w:val="center"/>
              <w:rPr>
                <w:b/>
                <w:bCs/>
                <w:color w:val="FFFFFF" w:themeColor="background1"/>
                <w:sz w:val="20"/>
                <w:szCs w:val="20"/>
              </w:rPr>
            </w:pPr>
            <w:r w:rsidRPr="001950D8">
              <w:rPr>
                <w:b/>
                <w:bCs/>
                <w:color w:val="FFFFFF" w:themeColor="background1"/>
                <w:sz w:val="20"/>
                <w:szCs w:val="20"/>
              </w:rPr>
              <w:t>How the activity meets it.</w:t>
            </w:r>
          </w:p>
        </w:tc>
        <w:tc>
          <w:tcPr>
            <w:tcW w:w="3230" w:type="dxa"/>
            <w:shd w:val="clear" w:color="auto" w:fill="1F6165"/>
          </w:tcPr>
          <w:p w14:paraId="09AFA729" w14:textId="31182E7D" w:rsidR="00FC4114" w:rsidRPr="001950D8" w:rsidRDefault="00FC4114" w:rsidP="00BA2A5D">
            <w:pPr>
              <w:jc w:val="center"/>
              <w:rPr>
                <w:b/>
                <w:bCs/>
                <w:color w:val="FFFFFF" w:themeColor="background1"/>
                <w:sz w:val="20"/>
                <w:szCs w:val="20"/>
              </w:rPr>
            </w:pPr>
            <w:r w:rsidRPr="001950D8">
              <w:rPr>
                <w:b/>
                <w:bCs/>
                <w:color w:val="FFFFFF" w:themeColor="background1"/>
                <w:sz w:val="20"/>
                <w:szCs w:val="20"/>
              </w:rPr>
              <w:t>Evidence</w:t>
            </w:r>
          </w:p>
        </w:tc>
      </w:tr>
      <w:tr w:rsidR="00FC4114" w:rsidRPr="001950D8" w14:paraId="71EB735A" w14:textId="32AC8399" w:rsidTr="00FC4114">
        <w:tc>
          <w:tcPr>
            <w:tcW w:w="3654" w:type="dxa"/>
          </w:tcPr>
          <w:p w14:paraId="5849A90E" w14:textId="427C3B85" w:rsidR="00FC4114" w:rsidRPr="001950D8" w:rsidRDefault="00FC4114">
            <w:pPr>
              <w:rPr>
                <w:color w:val="1F6165"/>
                <w:sz w:val="20"/>
                <w:szCs w:val="20"/>
              </w:rPr>
            </w:pPr>
            <w:r w:rsidRPr="001950D8">
              <w:rPr>
                <w:color w:val="1F6165"/>
                <w:sz w:val="20"/>
                <w:szCs w:val="20"/>
              </w:rPr>
              <w:t>101.1: Know the importance of health and safety in the construction industry</w:t>
            </w:r>
          </w:p>
        </w:tc>
        <w:tc>
          <w:tcPr>
            <w:tcW w:w="3572" w:type="dxa"/>
          </w:tcPr>
          <w:p w14:paraId="7780D664" w14:textId="77777777" w:rsidR="00FC4114" w:rsidRPr="001950D8" w:rsidRDefault="001950D8">
            <w:pPr>
              <w:rPr>
                <w:color w:val="1F6165"/>
                <w:sz w:val="20"/>
                <w:szCs w:val="20"/>
              </w:rPr>
            </w:pPr>
            <w:r w:rsidRPr="001950D8">
              <w:rPr>
                <w:color w:val="1F6165"/>
                <w:sz w:val="20"/>
                <w:szCs w:val="20"/>
              </w:rPr>
              <w:t>Learners explore how the HSE keeps construction sites safe by investigating incidents, checking compliance, giving guidance, and taking enforcement action. Understanding these roles helps learners recognise why health and safety is essential across the industry.</w:t>
            </w:r>
          </w:p>
          <w:p w14:paraId="1CE7566E" w14:textId="42723576" w:rsidR="001950D8" w:rsidRPr="001950D8" w:rsidRDefault="001950D8">
            <w:pPr>
              <w:rPr>
                <w:color w:val="1F6165"/>
                <w:sz w:val="20"/>
                <w:szCs w:val="20"/>
              </w:rPr>
            </w:pPr>
          </w:p>
        </w:tc>
        <w:tc>
          <w:tcPr>
            <w:tcW w:w="3230" w:type="dxa"/>
          </w:tcPr>
          <w:p w14:paraId="1F4144CC" w14:textId="72BA554A" w:rsidR="00CF2A55" w:rsidRPr="001950D8" w:rsidRDefault="001950D8" w:rsidP="00CF2A55">
            <w:pPr>
              <w:rPr>
                <w:color w:val="1F6165"/>
                <w:sz w:val="20"/>
                <w:szCs w:val="20"/>
              </w:rPr>
            </w:pPr>
            <w:r w:rsidRPr="001950D8">
              <w:rPr>
                <w:color w:val="1F6165"/>
                <w:sz w:val="20"/>
                <w:szCs w:val="20"/>
              </w:rPr>
              <w:t>The Intro states: “The Health and Safety Executive (HSE) is the organisation that makes sure construction sites are safe places to work… Understanding what the HSE does helps you see how safety is controlled across the whole construction industry.”</w:t>
            </w:r>
          </w:p>
        </w:tc>
      </w:tr>
      <w:tr w:rsidR="00FC4114" w:rsidRPr="001950D8" w14:paraId="53F2C557" w14:textId="25F91323" w:rsidTr="00FC4114">
        <w:tc>
          <w:tcPr>
            <w:tcW w:w="3654" w:type="dxa"/>
          </w:tcPr>
          <w:p w14:paraId="75257EC0" w14:textId="51E2DDC7" w:rsidR="00FC4114" w:rsidRPr="001950D8" w:rsidRDefault="00FC4114">
            <w:pPr>
              <w:rPr>
                <w:color w:val="1F6165"/>
                <w:sz w:val="20"/>
                <w:szCs w:val="20"/>
              </w:rPr>
            </w:pPr>
            <w:r w:rsidRPr="001950D8">
              <w:rPr>
                <w:color w:val="1F6165"/>
                <w:sz w:val="20"/>
                <w:szCs w:val="20"/>
              </w:rPr>
              <w:t>101.1.</w:t>
            </w:r>
            <w:r w:rsidR="00D2593E" w:rsidRPr="001950D8">
              <w:rPr>
                <w:color w:val="1F6165"/>
                <w:sz w:val="20"/>
                <w:szCs w:val="20"/>
              </w:rPr>
              <w:t>2</w:t>
            </w:r>
            <w:r w:rsidRPr="001950D8">
              <w:rPr>
                <w:color w:val="1F6165"/>
                <w:sz w:val="20"/>
                <w:szCs w:val="20"/>
              </w:rPr>
              <w:t xml:space="preserve">: State the </w:t>
            </w:r>
            <w:r w:rsidR="00D2593E" w:rsidRPr="001950D8">
              <w:rPr>
                <w:color w:val="1F6165"/>
                <w:sz w:val="20"/>
                <w:szCs w:val="20"/>
              </w:rPr>
              <w:t>roles of the Health and Safety Executive (HSE)</w:t>
            </w:r>
          </w:p>
        </w:tc>
        <w:tc>
          <w:tcPr>
            <w:tcW w:w="3572" w:type="dxa"/>
          </w:tcPr>
          <w:p w14:paraId="3A7C771F" w14:textId="4C38E6FE" w:rsidR="00FC4114" w:rsidRPr="001950D8" w:rsidRDefault="001950D8">
            <w:pPr>
              <w:rPr>
                <w:color w:val="1F6165"/>
                <w:sz w:val="20"/>
                <w:szCs w:val="20"/>
              </w:rPr>
            </w:pPr>
            <w:r w:rsidRPr="001950D8">
              <w:rPr>
                <w:color w:val="1F6165"/>
                <w:sz w:val="20"/>
                <w:szCs w:val="20"/>
              </w:rPr>
              <w:t>The activity directly teaches the five HSE roles through scenario cards and action cards. Learners match real</w:t>
            </w:r>
            <w:r w:rsidRPr="001950D8">
              <w:rPr>
                <w:color w:val="1F6165"/>
                <w:sz w:val="20"/>
                <w:szCs w:val="20"/>
              </w:rPr>
              <w:noBreakHyphen/>
              <w:t>world situations to the correct HSE responsibility and explain their reasoning.</w:t>
            </w:r>
          </w:p>
        </w:tc>
        <w:tc>
          <w:tcPr>
            <w:tcW w:w="3230" w:type="dxa"/>
          </w:tcPr>
          <w:p w14:paraId="099571B7" w14:textId="77777777" w:rsidR="00CF2A55" w:rsidRPr="001950D8" w:rsidRDefault="001950D8">
            <w:pPr>
              <w:rPr>
                <w:color w:val="1F6165"/>
                <w:sz w:val="20"/>
                <w:szCs w:val="20"/>
              </w:rPr>
            </w:pPr>
            <w:r w:rsidRPr="001950D8">
              <w:rPr>
                <w:color w:val="1F6165"/>
                <w:sz w:val="20"/>
                <w:szCs w:val="20"/>
              </w:rPr>
              <w:t>The activity directly teaches the five HSE roles through scenario cards and action cards. Learners match real</w:t>
            </w:r>
            <w:r w:rsidRPr="001950D8">
              <w:rPr>
                <w:color w:val="1F6165"/>
                <w:sz w:val="20"/>
                <w:szCs w:val="20"/>
              </w:rPr>
              <w:noBreakHyphen/>
              <w:t>world situations to the correct HSE responsibility and explain their reasoning.</w:t>
            </w:r>
          </w:p>
          <w:p w14:paraId="5F5FF510" w14:textId="53034DB9" w:rsidR="001950D8" w:rsidRPr="001950D8" w:rsidRDefault="001950D8">
            <w:pPr>
              <w:rPr>
                <w:color w:val="1F6165"/>
                <w:sz w:val="20"/>
                <w:szCs w:val="20"/>
              </w:rPr>
            </w:pPr>
          </w:p>
        </w:tc>
      </w:tr>
      <w:tr w:rsidR="00FC4114" w:rsidRPr="001950D8" w14:paraId="66F3F8AF" w14:textId="7F494E5C" w:rsidTr="00FC4114">
        <w:tc>
          <w:tcPr>
            <w:tcW w:w="3654" w:type="dxa"/>
          </w:tcPr>
          <w:p w14:paraId="4F65FCAE" w14:textId="4F886A77" w:rsidR="00FC4114" w:rsidRPr="001950D8" w:rsidRDefault="00D2593E">
            <w:pPr>
              <w:rPr>
                <w:color w:val="1F6165"/>
                <w:sz w:val="20"/>
                <w:szCs w:val="20"/>
              </w:rPr>
            </w:pPr>
            <w:r w:rsidRPr="001950D8">
              <w:rPr>
                <w:color w:val="1F6165"/>
                <w:sz w:val="20"/>
                <w:szCs w:val="20"/>
              </w:rPr>
              <w:t>Carry out investigations</w:t>
            </w:r>
          </w:p>
        </w:tc>
        <w:tc>
          <w:tcPr>
            <w:tcW w:w="3572" w:type="dxa"/>
          </w:tcPr>
          <w:p w14:paraId="169B82C2" w14:textId="69E968D0" w:rsidR="00FC4114" w:rsidRPr="001950D8" w:rsidRDefault="001950D8">
            <w:pPr>
              <w:rPr>
                <w:color w:val="1F6165"/>
                <w:sz w:val="20"/>
                <w:szCs w:val="20"/>
              </w:rPr>
            </w:pPr>
            <w:r w:rsidRPr="001950D8">
              <w:rPr>
                <w:color w:val="1F6165"/>
                <w:sz w:val="20"/>
                <w:szCs w:val="20"/>
              </w:rPr>
              <w:t>Learners identify scenarios where the HSE would investigate unsafe conditions or incidents, such as injuries, unsafe equipment, or ignored notices.</w:t>
            </w:r>
          </w:p>
        </w:tc>
        <w:tc>
          <w:tcPr>
            <w:tcW w:w="3230" w:type="dxa"/>
          </w:tcPr>
          <w:p w14:paraId="284967BE" w14:textId="48CBC51A" w:rsidR="00CF2A55" w:rsidRPr="001950D8" w:rsidRDefault="001950D8">
            <w:pPr>
              <w:rPr>
                <w:color w:val="1F6165"/>
                <w:sz w:val="20"/>
                <w:szCs w:val="20"/>
              </w:rPr>
            </w:pPr>
            <w:r w:rsidRPr="001950D8">
              <w:rPr>
                <w:color w:val="1F6165"/>
                <w:sz w:val="20"/>
                <w:szCs w:val="20"/>
              </w:rPr>
              <w:t xml:space="preserve">Scenario S10: “An employee’s hand is severely injured while using an unguarded circular saw.” HSE Action Card: </w:t>
            </w:r>
            <w:r w:rsidRPr="001950D8">
              <w:rPr>
                <w:b/>
                <w:bCs/>
                <w:color w:val="1F6165"/>
                <w:sz w:val="20"/>
                <w:szCs w:val="20"/>
              </w:rPr>
              <w:t>Investigation</w:t>
            </w:r>
            <w:r w:rsidRPr="001950D8">
              <w:rPr>
                <w:color w:val="1F6165"/>
                <w:sz w:val="20"/>
                <w:szCs w:val="20"/>
              </w:rPr>
              <w:t>.</w:t>
            </w:r>
          </w:p>
          <w:p w14:paraId="44045BBF" w14:textId="77777777" w:rsidR="001950D8" w:rsidRPr="001950D8" w:rsidRDefault="001950D8" w:rsidP="001950D8">
            <w:pPr>
              <w:rPr>
                <w:color w:val="1F6165"/>
                <w:sz w:val="20"/>
                <w:szCs w:val="20"/>
              </w:rPr>
            </w:pPr>
          </w:p>
          <w:p w14:paraId="3A5020AD" w14:textId="764083CD" w:rsidR="001950D8" w:rsidRPr="001950D8" w:rsidRDefault="001950D8" w:rsidP="001950D8">
            <w:pPr>
              <w:tabs>
                <w:tab w:val="left" w:pos="953"/>
              </w:tabs>
              <w:rPr>
                <w:color w:val="1F6165"/>
                <w:sz w:val="20"/>
                <w:szCs w:val="20"/>
              </w:rPr>
            </w:pPr>
            <w:r w:rsidRPr="001950D8">
              <w:rPr>
                <w:color w:val="1F6165"/>
                <w:sz w:val="20"/>
                <w:szCs w:val="20"/>
              </w:rPr>
              <w:tab/>
            </w:r>
          </w:p>
        </w:tc>
      </w:tr>
      <w:tr w:rsidR="00FC4114" w:rsidRPr="001950D8" w14:paraId="5A4FBFF8" w14:textId="2F024D10" w:rsidTr="00FC4114">
        <w:tc>
          <w:tcPr>
            <w:tcW w:w="3654" w:type="dxa"/>
          </w:tcPr>
          <w:p w14:paraId="1F1977B3" w14:textId="156E728A" w:rsidR="00FC4114" w:rsidRPr="001950D8" w:rsidRDefault="00D2593E">
            <w:pPr>
              <w:rPr>
                <w:color w:val="1F6165"/>
                <w:sz w:val="20"/>
                <w:szCs w:val="20"/>
              </w:rPr>
            </w:pPr>
            <w:r w:rsidRPr="001950D8">
              <w:rPr>
                <w:color w:val="1F6165"/>
                <w:sz w:val="20"/>
                <w:szCs w:val="20"/>
              </w:rPr>
              <w:t>Checking records required by legislation</w:t>
            </w:r>
          </w:p>
        </w:tc>
        <w:tc>
          <w:tcPr>
            <w:tcW w:w="3572" w:type="dxa"/>
          </w:tcPr>
          <w:p w14:paraId="2F11D61C" w14:textId="639B3F1C" w:rsidR="00FC4114" w:rsidRPr="001950D8" w:rsidRDefault="001950D8">
            <w:pPr>
              <w:rPr>
                <w:color w:val="1F6165"/>
                <w:sz w:val="20"/>
                <w:szCs w:val="20"/>
              </w:rPr>
            </w:pPr>
            <w:r w:rsidRPr="001950D8">
              <w:rPr>
                <w:color w:val="1F6165"/>
                <w:sz w:val="20"/>
                <w:szCs w:val="20"/>
              </w:rPr>
              <w:t>Learners recognise when missing or incomplete records require HSE intervention, such as training registers or scaffold inspection logs.</w:t>
            </w:r>
          </w:p>
        </w:tc>
        <w:tc>
          <w:tcPr>
            <w:tcW w:w="3230" w:type="dxa"/>
          </w:tcPr>
          <w:p w14:paraId="167280E4" w14:textId="77777777" w:rsidR="00CF2A55" w:rsidRPr="001950D8" w:rsidRDefault="001950D8">
            <w:pPr>
              <w:rPr>
                <w:color w:val="1F6165"/>
                <w:sz w:val="20"/>
                <w:szCs w:val="20"/>
              </w:rPr>
            </w:pPr>
            <w:r w:rsidRPr="001950D8">
              <w:rPr>
                <w:color w:val="1F6165"/>
                <w:sz w:val="20"/>
                <w:szCs w:val="20"/>
              </w:rPr>
              <w:t xml:space="preserve">Scenario S5: “Daily scaffold inspections have not been recorded for the past week.” Scenario S6: “The training register lists only half the workforce.” HSE Action Card: </w:t>
            </w:r>
            <w:r w:rsidRPr="001950D8">
              <w:rPr>
                <w:b/>
                <w:bCs/>
                <w:color w:val="1F6165"/>
                <w:sz w:val="20"/>
                <w:szCs w:val="20"/>
              </w:rPr>
              <w:t>Checking Records</w:t>
            </w:r>
            <w:r w:rsidRPr="001950D8">
              <w:rPr>
                <w:color w:val="1F6165"/>
                <w:sz w:val="20"/>
                <w:szCs w:val="20"/>
              </w:rPr>
              <w:t>.</w:t>
            </w:r>
          </w:p>
          <w:p w14:paraId="06532BD8" w14:textId="602F5112" w:rsidR="001950D8" w:rsidRPr="001950D8" w:rsidRDefault="001950D8">
            <w:pPr>
              <w:rPr>
                <w:color w:val="1F6165"/>
                <w:sz w:val="20"/>
                <w:szCs w:val="20"/>
              </w:rPr>
            </w:pPr>
          </w:p>
        </w:tc>
      </w:tr>
      <w:tr w:rsidR="00FC4114" w:rsidRPr="001950D8" w14:paraId="3D172852" w14:textId="3FC5A674" w:rsidTr="00FC4114">
        <w:tc>
          <w:tcPr>
            <w:tcW w:w="3654" w:type="dxa"/>
          </w:tcPr>
          <w:p w14:paraId="5A158A7D" w14:textId="16265B8E" w:rsidR="00FC4114" w:rsidRPr="001950D8" w:rsidRDefault="00D2593E">
            <w:pPr>
              <w:rPr>
                <w:color w:val="1F6165"/>
                <w:sz w:val="20"/>
                <w:szCs w:val="20"/>
              </w:rPr>
            </w:pPr>
            <w:r w:rsidRPr="001950D8">
              <w:rPr>
                <w:color w:val="1F6165"/>
                <w:sz w:val="20"/>
                <w:szCs w:val="20"/>
              </w:rPr>
              <w:t>Provide Information and Guidance</w:t>
            </w:r>
          </w:p>
        </w:tc>
        <w:tc>
          <w:tcPr>
            <w:tcW w:w="3572" w:type="dxa"/>
          </w:tcPr>
          <w:p w14:paraId="076EB4B5" w14:textId="2BCB3E05" w:rsidR="00FC4114" w:rsidRPr="001950D8" w:rsidRDefault="001950D8">
            <w:pPr>
              <w:rPr>
                <w:color w:val="1F6165"/>
                <w:sz w:val="20"/>
                <w:szCs w:val="20"/>
              </w:rPr>
            </w:pPr>
            <w:r w:rsidRPr="001950D8">
              <w:rPr>
                <w:color w:val="1F6165"/>
                <w:sz w:val="20"/>
                <w:szCs w:val="20"/>
              </w:rPr>
              <w:t>Learners identify situations where the HSE would give advice rather than enforce, such as confusion about safety procedures or PPE use.</w:t>
            </w:r>
          </w:p>
        </w:tc>
        <w:tc>
          <w:tcPr>
            <w:tcW w:w="3230" w:type="dxa"/>
          </w:tcPr>
          <w:p w14:paraId="34E83E6F" w14:textId="77777777" w:rsidR="00CF2A55" w:rsidRPr="001950D8" w:rsidRDefault="001950D8">
            <w:pPr>
              <w:rPr>
                <w:color w:val="1F6165"/>
                <w:sz w:val="20"/>
                <w:szCs w:val="20"/>
              </w:rPr>
            </w:pPr>
            <w:r w:rsidRPr="001950D8">
              <w:rPr>
                <w:color w:val="1F6165"/>
                <w:sz w:val="20"/>
                <w:szCs w:val="20"/>
              </w:rPr>
              <w:t xml:space="preserve">Scenario S7: Apprentice unsure about PPE. Scenario S8: Site manager contacts HSE for advice on fire safety. HSE Action Card: </w:t>
            </w:r>
            <w:r w:rsidRPr="001950D8">
              <w:rPr>
                <w:b/>
                <w:bCs/>
                <w:color w:val="1F6165"/>
                <w:sz w:val="20"/>
                <w:szCs w:val="20"/>
              </w:rPr>
              <w:t>Guidance</w:t>
            </w:r>
            <w:r w:rsidRPr="001950D8">
              <w:rPr>
                <w:color w:val="1F6165"/>
                <w:sz w:val="20"/>
                <w:szCs w:val="20"/>
              </w:rPr>
              <w:t>.</w:t>
            </w:r>
          </w:p>
          <w:p w14:paraId="1C8F97B2" w14:textId="72F8885F" w:rsidR="001950D8" w:rsidRPr="001950D8" w:rsidRDefault="001950D8">
            <w:pPr>
              <w:rPr>
                <w:color w:val="1F6165"/>
                <w:sz w:val="20"/>
                <w:szCs w:val="20"/>
              </w:rPr>
            </w:pPr>
          </w:p>
        </w:tc>
      </w:tr>
      <w:tr w:rsidR="00CF2A55" w:rsidRPr="001950D8" w14:paraId="12EE8A31" w14:textId="77777777" w:rsidTr="00FC4114">
        <w:tc>
          <w:tcPr>
            <w:tcW w:w="3654" w:type="dxa"/>
          </w:tcPr>
          <w:p w14:paraId="7CF0D0DF" w14:textId="54C8AEBD" w:rsidR="00CF2A55" w:rsidRPr="001950D8" w:rsidRDefault="00D2593E">
            <w:pPr>
              <w:rPr>
                <w:color w:val="1F6165"/>
                <w:sz w:val="20"/>
                <w:szCs w:val="20"/>
              </w:rPr>
            </w:pPr>
            <w:r w:rsidRPr="001950D8">
              <w:rPr>
                <w:color w:val="1F6165"/>
                <w:sz w:val="20"/>
                <w:szCs w:val="20"/>
              </w:rPr>
              <w:t>Issue Prohibition Notices</w:t>
            </w:r>
          </w:p>
        </w:tc>
        <w:tc>
          <w:tcPr>
            <w:tcW w:w="3572" w:type="dxa"/>
          </w:tcPr>
          <w:p w14:paraId="3D89E94E" w14:textId="7EA5EC55" w:rsidR="00CF2A55" w:rsidRPr="001950D8" w:rsidRDefault="001950D8">
            <w:pPr>
              <w:rPr>
                <w:color w:val="1F6165"/>
                <w:sz w:val="20"/>
                <w:szCs w:val="20"/>
              </w:rPr>
            </w:pPr>
            <w:r w:rsidRPr="001950D8">
              <w:rPr>
                <w:color w:val="1F6165"/>
                <w:sz w:val="20"/>
                <w:szCs w:val="20"/>
              </w:rPr>
              <w:t>Learners match scenarios where work must stop immediately due to serious and imminent danger.</w:t>
            </w:r>
          </w:p>
        </w:tc>
        <w:tc>
          <w:tcPr>
            <w:tcW w:w="3230" w:type="dxa"/>
          </w:tcPr>
          <w:p w14:paraId="37D9DA9D" w14:textId="77777777" w:rsidR="00CF2A55" w:rsidRPr="001950D8" w:rsidRDefault="001950D8" w:rsidP="00CF2A55">
            <w:pPr>
              <w:rPr>
                <w:color w:val="1F6165"/>
                <w:sz w:val="20"/>
                <w:szCs w:val="20"/>
              </w:rPr>
            </w:pPr>
            <w:r w:rsidRPr="001950D8">
              <w:rPr>
                <w:color w:val="1F6165"/>
                <w:sz w:val="20"/>
                <w:szCs w:val="20"/>
              </w:rPr>
              <w:t xml:space="preserve">Scenario S1: Unsafe scaffolding with missing guardrails. Scenario S2: Exposed wiring near wet flooring. HSE Action Card: </w:t>
            </w:r>
            <w:r w:rsidRPr="001950D8">
              <w:rPr>
                <w:b/>
                <w:bCs/>
                <w:color w:val="1F6165"/>
                <w:sz w:val="20"/>
                <w:szCs w:val="20"/>
              </w:rPr>
              <w:t>Prohibition Notice</w:t>
            </w:r>
            <w:r w:rsidRPr="001950D8">
              <w:rPr>
                <w:color w:val="1F6165"/>
                <w:sz w:val="20"/>
                <w:szCs w:val="20"/>
              </w:rPr>
              <w:t>.</w:t>
            </w:r>
          </w:p>
          <w:p w14:paraId="6EC83D8F" w14:textId="5C717FFD" w:rsidR="001950D8" w:rsidRPr="001950D8" w:rsidRDefault="001950D8" w:rsidP="00CF2A55">
            <w:pPr>
              <w:rPr>
                <w:color w:val="1F6165"/>
                <w:sz w:val="20"/>
                <w:szCs w:val="20"/>
              </w:rPr>
            </w:pPr>
          </w:p>
        </w:tc>
      </w:tr>
      <w:tr w:rsidR="00CF2A55" w:rsidRPr="001950D8" w14:paraId="1E3C4CB0" w14:textId="77777777" w:rsidTr="00FC4114">
        <w:tc>
          <w:tcPr>
            <w:tcW w:w="3654" w:type="dxa"/>
          </w:tcPr>
          <w:p w14:paraId="407C315C" w14:textId="4BACEA94" w:rsidR="00CF2A55" w:rsidRPr="001950D8" w:rsidRDefault="00D2593E">
            <w:pPr>
              <w:rPr>
                <w:color w:val="1F6165"/>
                <w:sz w:val="20"/>
                <w:szCs w:val="20"/>
              </w:rPr>
            </w:pPr>
            <w:r w:rsidRPr="001950D8">
              <w:rPr>
                <w:color w:val="1F6165"/>
                <w:sz w:val="20"/>
                <w:szCs w:val="20"/>
              </w:rPr>
              <w:t>Prosecute All Parties who fail to comply</w:t>
            </w:r>
          </w:p>
        </w:tc>
        <w:tc>
          <w:tcPr>
            <w:tcW w:w="3572" w:type="dxa"/>
          </w:tcPr>
          <w:p w14:paraId="777E5E5A" w14:textId="445E0615" w:rsidR="00CF2A55" w:rsidRPr="001950D8" w:rsidRDefault="001950D8">
            <w:pPr>
              <w:rPr>
                <w:color w:val="1F6165"/>
                <w:sz w:val="20"/>
                <w:szCs w:val="20"/>
              </w:rPr>
            </w:pPr>
            <w:r w:rsidRPr="001950D8">
              <w:rPr>
                <w:color w:val="1F6165"/>
                <w:sz w:val="20"/>
                <w:szCs w:val="20"/>
              </w:rPr>
              <w:t>Learners identify severe breaches or repeated non</w:t>
            </w:r>
            <w:r w:rsidRPr="001950D8">
              <w:rPr>
                <w:color w:val="1F6165"/>
                <w:sz w:val="20"/>
                <w:szCs w:val="20"/>
              </w:rPr>
              <w:noBreakHyphen/>
              <w:t>compliance that would lead to prosecution.</w:t>
            </w:r>
          </w:p>
        </w:tc>
        <w:tc>
          <w:tcPr>
            <w:tcW w:w="3230" w:type="dxa"/>
          </w:tcPr>
          <w:p w14:paraId="20A6DA13" w14:textId="4E79042E" w:rsidR="00CF2A55" w:rsidRPr="001950D8" w:rsidRDefault="001950D8">
            <w:pPr>
              <w:rPr>
                <w:color w:val="1F6165"/>
                <w:sz w:val="20"/>
                <w:szCs w:val="20"/>
              </w:rPr>
            </w:pPr>
            <w:r w:rsidRPr="001950D8">
              <w:rPr>
                <w:color w:val="1F6165"/>
                <w:sz w:val="20"/>
                <w:szCs w:val="20"/>
              </w:rPr>
              <w:t xml:space="preserve">Scenario S9: Workers ignore improvement notices and continue unsafe climbing. Scenario S10: Unguarded saw causes severe injury. HSE Action Card: </w:t>
            </w:r>
            <w:r w:rsidRPr="001950D8">
              <w:rPr>
                <w:b/>
                <w:bCs/>
                <w:color w:val="1F6165"/>
                <w:sz w:val="20"/>
                <w:szCs w:val="20"/>
              </w:rPr>
              <w:t>Prosecution</w:t>
            </w:r>
            <w:r w:rsidRPr="001950D8">
              <w:rPr>
                <w:color w:val="1F6165"/>
                <w:sz w:val="20"/>
                <w:szCs w:val="20"/>
              </w:rPr>
              <w:t>.</w:t>
            </w:r>
          </w:p>
          <w:p w14:paraId="45F68AEC" w14:textId="688E02E3" w:rsidR="001950D8" w:rsidRPr="001950D8" w:rsidRDefault="001950D8" w:rsidP="001950D8">
            <w:pPr>
              <w:ind w:firstLine="720"/>
              <w:rPr>
                <w:color w:val="1F6165"/>
                <w:sz w:val="20"/>
                <w:szCs w:val="20"/>
              </w:rPr>
            </w:pPr>
          </w:p>
        </w:tc>
      </w:tr>
      <w:tr w:rsidR="00D2593E" w:rsidRPr="001950D8" w14:paraId="238ACE2D" w14:textId="77777777" w:rsidTr="00FC4114">
        <w:tc>
          <w:tcPr>
            <w:tcW w:w="3654" w:type="dxa"/>
          </w:tcPr>
          <w:p w14:paraId="1DEC60B5" w14:textId="7A82ECA9" w:rsidR="00D2593E" w:rsidRPr="001950D8" w:rsidRDefault="00D2593E">
            <w:pPr>
              <w:rPr>
                <w:color w:val="1F6165"/>
                <w:sz w:val="20"/>
                <w:szCs w:val="20"/>
              </w:rPr>
            </w:pPr>
            <w:r w:rsidRPr="001950D8">
              <w:rPr>
                <w:color w:val="1F6165"/>
                <w:sz w:val="20"/>
                <w:szCs w:val="20"/>
              </w:rPr>
              <w:lastRenderedPageBreak/>
              <w:t>Numeracy &amp; Interpretation skills</w:t>
            </w:r>
          </w:p>
        </w:tc>
        <w:tc>
          <w:tcPr>
            <w:tcW w:w="3572" w:type="dxa"/>
          </w:tcPr>
          <w:p w14:paraId="1046C045" w14:textId="7825F4B2" w:rsidR="00D2593E" w:rsidRPr="001950D8" w:rsidRDefault="001950D8">
            <w:pPr>
              <w:rPr>
                <w:color w:val="1F6165"/>
                <w:sz w:val="20"/>
                <w:szCs w:val="20"/>
              </w:rPr>
            </w:pPr>
            <w:r w:rsidRPr="001950D8">
              <w:rPr>
                <w:color w:val="1F6165"/>
                <w:sz w:val="20"/>
                <w:szCs w:val="20"/>
              </w:rPr>
              <w:t>Learners interpret scenario details, identify key information, and categorise actions accurately. They analyse cause</w:t>
            </w:r>
            <w:r w:rsidRPr="001950D8">
              <w:rPr>
                <w:color w:val="1F6165"/>
                <w:sz w:val="20"/>
                <w:szCs w:val="20"/>
              </w:rPr>
              <w:noBreakHyphen/>
              <w:t>and</w:t>
            </w:r>
            <w:r w:rsidRPr="001950D8">
              <w:rPr>
                <w:color w:val="1F6165"/>
                <w:sz w:val="20"/>
                <w:szCs w:val="20"/>
              </w:rPr>
              <w:noBreakHyphen/>
              <w:t>effect relationships between unsafe conditions and HSE responses.</w:t>
            </w:r>
          </w:p>
        </w:tc>
        <w:tc>
          <w:tcPr>
            <w:tcW w:w="3230" w:type="dxa"/>
          </w:tcPr>
          <w:p w14:paraId="1096121D" w14:textId="77777777" w:rsidR="00D2593E" w:rsidRPr="001950D8" w:rsidRDefault="001950D8">
            <w:pPr>
              <w:rPr>
                <w:color w:val="1F6165"/>
                <w:sz w:val="20"/>
                <w:szCs w:val="20"/>
              </w:rPr>
            </w:pPr>
            <w:r w:rsidRPr="001950D8">
              <w:rPr>
                <w:color w:val="1F6165"/>
                <w:sz w:val="20"/>
                <w:szCs w:val="20"/>
              </w:rPr>
              <w:t>Student Instructions: “Read each scenario carefully… decide which HSE role is being shown… write the scenario letter in the sorting grid.” The HSE Action Table requires structured interpretation of events.</w:t>
            </w:r>
          </w:p>
          <w:p w14:paraId="054AD99B" w14:textId="1E9DBFCB" w:rsidR="001950D8" w:rsidRPr="001950D8" w:rsidRDefault="001950D8">
            <w:pPr>
              <w:rPr>
                <w:color w:val="1F6165"/>
                <w:sz w:val="20"/>
                <w:szCs w:val="20"/>
              </w:rPr>
            </w:pPr>
          </w:p>
        </w:tc>
      </w:tr>
      <w:tr w:rsidR="00D2593E" w:rsidRPr="001950D8" w14:paraId="070696A0" w14:textId="77777777" w:rsidTr="00FC4114">
        <w:tc>
          <w:tcPr>
            <w:tcW w:w="3654" w:type="dxa"/>
          </w:tcPr>
          <w:p w14:paraId="63977C4F" w14:textId="76FFA20D" w:rsidR="00D2593E" w:rsidRPr="001950D8" w:rsidRDefault="00D2593E">
            <w:pPr>
              <w:rPr>
                <w:color w:val="1F6165"/>
                <w:sz w:val="20"/>
                <w:szCs w:val="20"/>
              </w:rPr>
            </w:pPr>
            <w:r w:rsidRPr="001950D8">
              <w:rPr>
                <w:color w:val="1F6165"/>
                <w:sz w:val="20"/>
                <w:szCs w:val="20"/>
              </w:rPr>
              <w:t>Communication skills</w:t>
            </w:r>
          </w:p>
        </w:tc>
        <w:tc>
          <w:tcPr>
            <w:tcW w:w="3572" w:type="dxa"/>
          </w:tcPr>
          <w:p w14:paraId="4588C3CE" w14:textId="2CBBD8DA" w:rsidR="00D2593E" w:rsidRPr="001950D8" w:rsidRDefault="001950D8">
            <w:pPr>
              <w:rPr>
                <w:color w:val="1F6165"/>
                <w:sz w:val="20"/>
                <w:szCs w:val="20"/>
              </w:rPr>
            </w:pPr>
            <w:r w:rsidRPr="001950D8">
              <w:rPr>
                <w:color w:val="1F6165"/>
                <w:sz w:val="20"/>
                <w:szCs w:val="20"/>
              </w:rPr>
              <w:t>Learners discuss scenarios in pairs, justify their choices, and complete written explanations using correct terminology.</w:t>
            </w:r>
          </w:p>
        </w:tc>
        <w:tc>
          <w:tcPr>
            <w:tcW w:w="3230" w:type="dxa"/>
          </w:tcPr>
          <w:p w14:paraId="4201131A" w14:textId="363AA467" w:rsidR="00D2593E" w:rsidRPr="001950D8" w:rsidRDefault="001950D8">
            <w:pPr>
              <w:rPr>
                <w:color w:val="1F6165"/>
                <w:sz w:val="20"/>
                <w:szCs w:val="20"/>
              </w:rPr>
            </w:pPr>
            <w:r w:rsidRPr="001950D8">
              <w:rPr>
                <w:color w:val="1F6165"/>
                <w:sz w:val="20"/>
                <w:szCs w:val="20"/>
              </w:rPr>
              <w:t>Lecturer Instructions: “Encourage discussion in pairs or small groups.” Scaffolding includes sentence starters: “The HSE would…”, “This role is about…”.</w:t>
            </w:r>
          </w:p>
          <w:p w14:paraId="2ACC9F43" w14:textId="77777777" w:rsidR="001950D8" w:rsidRPr="001950D8" w:rsidRDefault="001950D8" w:rsidP="001950D8">
            <w:pPr>
              <w:jc w:val="center"/>
              <w:rPr>
                <w:color w:val="1F6165"/>
                <w:sz w:val="20"/>
                <w:szCs w:val="20"/>
              </w:rPr>
            </w:pPr>
          </w:p>
        </w:tc>
      </w:tr>
      <w:tr w:rsidR="00CF2A55" w:rsidRPr="001950D8" w14:paraId="34FA8515" w14:textId="77777777" w:rsidTr="00FC4114">
        <w:tc>
          <w:tcPr>
            <w:tcW w:w="3654" w:type="dxa"/>
          </w:tcPr>
          <w:p w14:paraId="7394D5E5" w14:textId="538C71B5" w:rsidR="00CF2A55" w:rsidRPr="001950D8" w:rsidRDefault="00CF2A55">
            <w:pPr>
              <w:rPr>
                <w:color w:val="1F6165"/>
                <w:sz w:val="20"/>
                <w:szCs w:val="20"/>
              </w:rPr>
            </w:pPr>
            <w:r w:rsidRPr="001950D8">
              <w:rPr>
                <w:color w:val="1F6165"/>
                <w:sz w:val="20"/>
                <w:szCs w:val="20"/>
              </w:rPr>
              <w:t>Discovery</w:t>
            </w:r>
            <w:r w:rsidRPr="001950D8">
              <w:rPr>
                <w:color w:val="1F6165"/>
                <w:sz w:val="20"/>
                <w:szCs w:val="20"/>
              </w:rPr>
              <w:noBreakHyphen/>
              <w:t>based learning</w:t>
            </w:r>
          </w:p>
        </w:tc>
        <w:tc>
          <w:tcPr>
            <w:tcW w:w="3572" w:type="dxa"/>
          </w:tcPr>
          <w:p w14:paraId="2FDEA1D6" w14:textId="3A400231" w:rsidR="00CF2A55" w:rsidRPr="001950D8" w:rsidRDefault="001950D8">
            <w:pPr>
              <w:rPr>
                <w:color w:val="1F6165"/>
                <w:sz w:val="20"/>
                <w:szCs w:val="20"/>
              </w:rPr>
            </w:pPr>
            <w:r w:rsidRPr="001950D8">
              <w:rPr>
                <w:color w:val="1F6165"/>
                <w:sz w:val="20"/>
                <w:szCs w:val="20"/>
              </w:rPr>
              <w:t>Learners uncover HSE roles by exploring realistic scenarios rather than being told the answers. Matching tasks and discussion promote independent reasoning.</w:t>
            </w:r>
          </w:p>
        </w:tc>
        <w:tc>
          <w:tcPr>
            <w:tcW w:w="3230" w:type="dxa"/>
          </w:tcPr>
          <w:p w14:paraId="1D29C00C" w14:textId="77777777" w:rsidR="00CF2A55" w:rsidRPr="001950D8" w:rsidRDefault="001950D8">
            <w:pPr>
              <w:rPr>
                <w:color w:val="1F6165"/>
                <w:sz w:val="20"/>
                <w:szCs w:val="20"/>
              </w:rPr>
            </w:pPr>
            <w:r w:rsidRPr="001950D8">
              <w:rPr>
                <w:color w:val="1F6165"/>
                <w:sz w:val="20"/>
                <w:szCs w:val="20"/>
              </w:rPr>
              <w:t>Lecturer Instructions: “Support learners by reading scenarios aloud if needed… prompt with questions like ‘What is the HSE doing here?’” The activity is scenario</w:t>
            </w:r>
            <w:r w:rsidRPr="001950D8">
              <w:rPr>
                <w:color w:val="1F6165"/>
                <w:sz w:val="20"/>
                <w:szCs w:val="20"/>
              </w:rPr>
              <w:noBreakHyphen/>
              <w:t>based and exploratory.</w:t>
            </w:r>
          </w:p>
          <w:p w14:paraId="0AF35B19" w14:textId="4C9D269D" w:rsidR="001950D8" w:rsidRPr="001950D8" w:rsidRDefault="001950D8">
            <w:pPr>
              <w:rPr>
                <w:color w:val="1F6165"/>
                <w:sz w:val="20"/>
                <w:szCs w:val="20"/>
              </w:rPr>
            </w:pPr>
          </w:p>
        </w:tc>
      </w:tr>
      <w:tr w:rsidR="00CF2A55" w:rsidRPr="001950D8" w14:paraId="57658D21" w14:textId="77777777" w:rsidTr="00FC4114">
        <w:tc>
          <w:tcPr>
            <w:tcW w:w="3654" w:type="dxa"/>
          </w:tcPr>
          <w:p w14:paraId="763CC0E5" w14:textId="71029B11" w:rsidR="00CF2A55" w:rsidRPr="001950D8" w:rsidRDefault="00CF2A55">
            <w:pPr>
              <w:rPr>
                <w:color w:val="1F6165"/>
                <w:sz w:val="20"/>
                <w:szCs w:val="20"/>
              </w:rPr>
            </w:pPr>
            <w:r w:rsidRPr="001950D8">
              <w:rPr>
                <w:color w:val="1F6165"/>
                <w:sz w:val="20"/>
                <w:szCs w:val="20"/>
              </w:rPr>
              <w:t>Reading &amp; Writing</w:t>
            </w:r>
          </w:p>
        </w:tc>
        <w:tc>
          <w:tcPr>
            <w:tcW w:w="3572" w:type="dxa"/>
          </w:tcPr>
          <w:p w14:paraId="13C118F7" w14:textId="1B0873F6" w:rsidR="00CF2A55" w:rsidRPr="001950D8" w:rsidRDefault="001950D8">
            <w:pPr>
              <w:rPr>
                <w:color w:val="1F6165"/>
                <w:sz w:val="20"/>
                <w:szCs w:val="20"/>
              </w:rPr>
            </w:pPr>
            <w:r w:rsidRPr="001950D8">
              <w:rPr>
                <w:color w:val="1F6165"/>
                <w:sz w:val="20"/>
                <w:szCs w:val="20"/>
              </w:rPr>
              <w:t>Learners read scenario cards, interpret key details, and complete written sections of the worksheet. They write explanations using correct HSE terminology.</w:t>
            </w:r>
          </w:p>
        </w:tc>
        <w:tc>
          <w:tcPr>
            <w:tcW w:w="3230" w:type="dxa"/>
          </w:tcPr>
          <w:p w14:paraId="1B233B6D" w14:textId="77777777" w:rsidR="00CF2A55" w:rsidRPr="001950D8" w:rsidRDefault="001950D8">
            <w:pPr>
              <w:rPr>
                <w:color w:val="1F6165"/>
                <w:sz w:val="20"/>
                <w:szCs w:val="20"/>
              </w:rPr>
            </w:pPr>
            <w:r w:rsidRPr="001950D8">
              <w:rPr>
                <w:color w:val="1F6165"/>
                <w:sz w:val="20"/>
                <w:szCs w:val="20"/>
              </w:rPr>
              <w:t>Student Instructions: “Read each scenario card carefully… complete the explanation question at the end.” Learning Outcome: “Use correct terminology such as investigation, prohibition notice, and guidance.”</w:t>
            </w:r>
          </w:p>
          <w:p w14:paraId="71E7744C" w14:textId="74E7626F" w:rsidR="001950D8" w:rsidRPr="001950D8" w:rsidRDefault="001950D8">
            <w:pPr>
              <w:rPr>
                <w:color w:val="1F6165"/>
                <w:sz w:val="20"/>
                <w:szCs w:val="20"/>
              </w:rPr>
            </w:pPr>
          </w:p>
        </w:tc>
      </w:tr>
    </w:tbl>
    <w:p w14:paraId="29F45A0C" w14:textId="77777777" w:rsidR="00BA2A5D" w:rsidRDefault="00BA2A5D"/>
    <w:sectPr w:rsidR="00BA2A5D" w:rsidSect="00BA2A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sterEarl BT">
    <w:panose1 w:val="03080802020302020203"/>
    <w:charset w:val="00"/>
    <w:family w:val="script"/>
    <w:pitch w:val="variable"/>
    <w:sig w:usb0="00000087" w:usb1="00000000" w:usb2="00000000" w:usb3="00000000" w:csb0="0000001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A5D"/>
    <w:rsid w:val="00044C89"/>
    <w:rsid w:val="000E751D"/>
    <w:rsid w:val="001950D8"/>
    <w:rsid w:val="003F4144"/>
    <w:rsid w:val="00434691"/>
    <w:rsid w:val="00491872"/>
    <w:rsid w:val="004B5600"/>
    <w:rsid w:val="004E080A"/>
    <w:rsid w:val="006252AB"/>
    <w:rsid w:val="006F0EB2"/>
    <w:rsid w:val="00864B1E"/>
    <w:rsid w:val="00BA2A5D"/>
    <w:rsid w:val="00C34822"/>
    <w:rsid w:val="00CF2A55"/>
    <w:rsid w:val="00D2593E"/>
    <w:rsid w:val="00D9263D"/>
    <w:rsid w:val="00FC4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13EAA"/>
  <w15:chartTrackingRefBased/>
  <w15:docId w15:val="{AEC82F32-6B12-4F44-ACE9-9AC6E6839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2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2A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2A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2A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2A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A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A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A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A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2A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2A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2A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2A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2A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A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A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A5D"/>
    <w:rPr>
      <w:rFonts w:eastAsiaTheme="majorEastAsia" w:cstheme="majorBidi"/>
      <w:color w:val="272727" w:themeColor="text1" w:themeTint="D8"/>
    </w:rPr>
  </w:style>
  <w:style w:type="paragraph" w:styleId="Title">
    <w:name w:val="Title"/>
    <w:basedOn w:val="Normal"/>
    <w:next w:val="Normal"/>
    <w:link w:val="TitleChar"/>
    <w:uiPriority w:val="10"/>
    <w:qFormat/>
    <w:rsid w:val="00BA2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A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A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A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A5D"/>
    <w:pPr>
      <w:spacing w:before="160"/>
      <w:jc w:val="center"/>
    </w:pPr>
    <w:rPr>
      <w:i/>
      <w:iCs/>
      <w:color w:val="404040" w:themeColor="text1" w:themeTint="BF"/>
    </w:rPr>
  </w:style>
  <w:style w:type="character" w:customStyle="1" w:styleId="QuoteChar">
    <w:name w:val="Quote Char"/>
    <w:basedOn w:val="DefaultParagraphFont"/>
    <w:link w:val="Quote"/>
    <w:uiPriority w:val="29"/>
    <w:rsid w:val="00BA2A5D"/>
    <w:rPr>
      <w:i/>
      <w:iCs/>
      <w:color w:val="404040" w:themeColor="text1" w:themeTint="BF"/>
    </w:rPr>
  </w:style>
  <w:style w:type="paragraph" w:styleId="ListParagraph">
    <w:name w:val="List Paragraph"/>
    <w:basedOn w:val="Normal"/>
    <w:uiPriority w:val="34"/>
    <w:qFormat/>
    <w:rsid w:val="00BA2A5D"/>
    <w:pPr>
      <w:ind w:left="720"/>
      <w:contextualSpacing/>
    </w:pPr>
  </w:style>
  <w:style w:type="character" w:styleId="IntenseEmphasis">
    <w:name w:val="Intense Emphasis"/>
    <w:basedOn w:val="DefaultParagraphFont"/>
    <w:uiPriority w:val="21"/>
    <w:qFormat/>
    <w:rsid w:val="00BA2A5D"/>
    <w:rPr>
      <w:i/>
      <w:iCs/>
      <w:color w:val="0F4761" w:themeColor="accent1" w:themeShade="BF"/>
    </w:rPr>
  </w:style>
  <w:style w:type="paragraph" w:styleId="IntenseQuote">
    <w:name w:val="Intense Quote"/>
    <w:basedOn w:val="Normal"/>
    <w:next w:val="Normal"/>
    <w:link w:val="IntenseQuoteChar"/>
    <w:uiPriority w:val="30"/>
    <w:qFormat/>
    <w:rsid w:val="00BA2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2A5D"/>
    <w:rPr>
      <w:i/>
      <w:iCs/>
      <w:color w:val="0F4761" w:themeColor="accent1" w:themeShade="BF"/>
    </w:rPr>
  </w:style>
  <w:style w:type="character" w:styleId="IntenseReference">
    <w:name w:val="Intense Reference"/>
    <w:basedOn w:val="DefaultParagraphFont"/>
    <w:uiPriority w:val="32"/>
    <w:qFormat/>
    <w:rsid w:val="00BA2A5D"/>
    <w:rPr>
      <w:b/>
      <w:bCs/>
      <w:smallCaps/>
      <w:color w:val="0F4761" w:themeColor="accent1" w:themeShade="BF"/>
      <w:spacing w:val="5"/>
    </w:rPr>
  </w:style>
  <w:style w:type="table" w:styleId="TableGrid">
    <w:name w:val="Table Grid"/>
    <w:basedOn w:val="TableNormal"/>
    <w:uiPriority w:val="39"/>
    <w:rsid w:val="00BA2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Rix</dc:creator>
  <cp:keywords/>
  <dc:description/>
  <cp:lastModifiedBy>James Rix</cp:lastModifiedBy>
  <cp:revision>7</cp:revision>
  <dcterms:created xsi:type="dcterms:W3CDTF">2026-06-15T17:45:00Z</dcterms:created>
  <dcterms:modified xsi:type="dcterms:W3CDTF">2026-06-20T22:33:00Z</dcterms:modified>
</cp:coreProperties>
</file>